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黑体" w:cs="宋体" w:hint="eastAsia"/>
          <w:b/>
          <w:bCs/>
          <w:kern w:val="0"/>
          <w:sz w:val="36"/>
          <w:szCs w:val="36"/>
        </w:rPr>
        <w:t>教育部关于开展普通高等学校本科</w:t>
      </w:r>
      <w:r w:rsidRPr="007B4B69">
        <w:rPr>
          <w:rFonts w:ascii="黑体" w:eastAsia="黑体" w:hAnsi="黑体" w:cs="宋体" w:hint="eastAsia"/>
          <w:kern w:val="0"/>
          <w:sz w:val="32"/>
          <w:szCs w:val="32"/>
        </w:rPr>
        <w:br/>
      </w:r>
      <w:r w:rsidRPr="007B4B69">
        <w:rPr>
          <w:rFonts w:ascii="黑体" w:eastAsia="黑体" w:hAnsi="黑体" w:cs="宋体" w:hint="eastAsia"/>
          <w:b/>
          <w:bCs/>
          <w:kern w:val="0"/>
          <w:sz w:val="32"/>
          <w:szCs w:val="32"/>
        </w:rPr>
        <w:t>教学工作审核评估的通知</w:t>
      </w:r>
    </w:p>
    <w:p w:rsidR="007B4B69" w:rsidRPr="007B4B69" w:rsidRDefault="007B4B69" w:rsidP="002D6E94">
      <w:pPr>
        <w:widowControl/>
        <w:adjustRightInd w:val="0"/>
        <w:snapToGrid w:val="0"/>
        <w:spacing w:line="360" w:lineRule="auto"/>
        <w:jc w:val="right"/>
        <w:rPr>
          <w:rFonts w:ascii="宋体" w:eastAsia="宋体" w:hAnsi="宋体" w:cs="宋体"/>
          <w:kern w:val="0"/>
          <w:sz w:val="24"/>
          <w:szCs w:val="24"/>
        </w:rPr>
      </w:pPr>
      <w:proofErr w:type="gramStart"/>
      <w:r w:rsidRPr="007B4B69">
        <w:rPr>
          <w:rFonts w:ascii="仿宋_GB2312" w:eastAsia="仿宋_GB2312" w:hAnsi="宋体" w:cs="宋体" w:hint="eastAsia"/>
          <w:kern w:val="0"/>
          <w:sz w:val="28"/>
          <w:szCs w:val="28"/>
        </w:rPr>
        <w:t>教高〔2013〕</w:t>
      </w:r>
      <w:proofErr w:type="gramEnd"/>
      <w:r w:rsidRPr="007B4B69">
        <w:rPr>
          <w:rFonts w:ascii="仿宋_GB2312" w:eastAsia="仿宋_GB2312" w:hAnsi="宋体" w:cs="宋体" w:hint="eastAsia"/>
          <w:kern w:val="0"/>
          <w:sz w:val="28"/>
          <w:szCs w:val="28"/>
        </w:rPr>
        <w:t xml:space="preserve">10号 </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各省、自治区、直辖市教育厅（教委），有关部门（单位）教育司（局），部属各高等学校：</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w:t>
      </w:r>
      <w:r w:rsidR="002D6E94">
        <w:rPr>
          <w:rFonts w:ascii="仿宋_GB2312" w:eastAsia="仿宋_GB2312" w:hAnsi="宋体" w:cs="宋体" w:hint="eastAsia"/>
          <w:kern w:val="0"/>
          <w:sz w:val="28"/>
          <w:szCs w:val="28"/>
        </w:rPr>
        <w:t xml:space="preserve">  </w:t>
      </w:r>
      <w:r w:rsidRPr="007B4B69">
        <w:rPr>
          <w:rFonts w:ascii="仿宋_GB2312" w:eastAsia="仿宋_GB2312" w:hAnsi="宋体" w:cs="宋体" w:hint="eastAsia"/>
          <w:kern w:val="0"/>
          <w:sz w:val="28"/>
          <w:szCs w:val="28"/>
        </w:rPr>
        <w:t>为贯彻党的十八大和十八届三中全会精神，落实教育规划纲要，切实推进高等教育内涵式发展，提高本科教学水平和人才培养质量，根据《教育部关于普通高等学校本科教学评估工作的意见》（</w:t>
      </w:r>
      <w:proofErr w:type="gramStart"/>
      <w:r w:rsidRPr="007B4B69">
        <w:rPr>
          <w:rFonts w:ascii="仿宋_GB2312" w:eastAsia="仿宋_GB2312" w:hAnsi="宋体" w:cs="宋体" w:hint="eastAsia"/>
          <w:kern w:val="0"/>
          <w:sz w:val="28"/>
          <w:szCs w:val="28"/>
        </w:rPr>
        <w:t>教高〔2011〕</w:t>
      </w:r>
      <w:proofErr w:type="gramEnd"/>
      <w:r w:rsidRPr="007B4B69">
        <w:rPr>
          <w:rFonts w:ascii="仿宋_GB2312" w:eastAsia="仿宋_GB2312" w:hAnsi="宋体" w:cs="宋体" w:hint="eastAsia"/>
          <w:kern w:val="0"/>
          <w:sz w:val="28"/>
          <w:szCs w:val="28"/>
        </w:rPr>
        <w:t>9号）要求，决定开展普通高等学校本科教学工作审核评估，现将《普通高等学校本科教学工作审核评估方案》（见附件）印发给你们。</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各地教育行政部门和有关高等学校要深入研究，充分认识审核评估的意义。通过审核评估加强政府对高等学校的宏观管理和分类指导，引导高等学校合理定位、全面落实人才培养中心地位，健全质量保障体系，办出水平、办出特色，切实提高人才培养质量。</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w:t>
      </w:r>
      <w:r w:rsidR="002D6E94">
        <w:rPr>
          <w:rFonts w:ascii="仿宋_GB2312" w:eastAsia="仿宋_GB2312" w:hAnsi="宋体" w:cs="宋体" w:hint="eastAsia"/>
          <w:kern w:val="0"/>
          <w:sz w:val="28"/>
          <w:szCs w:val="28"/>
        </w:rPr>
        <w:t xml:space="preserve">  </w:t>
      </w:r>
      <w:r w:rsidRPr="007B4B69">
        <w:rPr>
          <w:rFonts w:ascii="仿宋_GB2312" w:eastAsia="仿宋_GB2312" w:hAnsi="宋体" w:cs="宋体" w:hint="eastAsia"/>
          <w:kern w:val="0"/>
          <w:sz w:val="28"/>
          <w:szCs w:val="28"/>
        </w:rPr>
        <w:t>审核评估实行中央和省级政府分级负责，各省、自治区、直辖市教育行政部门应按照《普通高等学校本科教学工作审核评估方案》的规定和要求，结合本地区高等教育发展需要，制定本地区所属高等学校审核评估具体方案和评估计划。中央部委所属高等学校的审核评估由教育部高等教育教学评估中心负责实施。要充分发挥第三方评估的</w:t>
      </w:r>
      <w:r w:rsidRPr="007B4B69">
        <w:rPr>
          <w:rFonts w:ascii="仿宋_GB2312" w:eastAsia="仿宋_GB2312" w:hAnsi="宋体" w:cs="宋体" w:hint="eastAsia"/>
          <w:kern w:val="0"/>
          <w:sz w:val="28"/>
          <w:szCs w:val="28"/>
        </w:rPr>
        <w:lastRenderedPageBreak/>
        <w:t>作用，先行试点，逐步推开，有计划有步骤地组织实施高等学校的审核评估工作。</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w:t>
      </w:r>
      <w:r w:rsidR="002D6E94">
        <w:rPr>
          <w:rFonts w:ascii="仿宋_GB2312" w:eastAsia="仿宋_GB2312" w:hAnsi="宋体" w:cs="宋体" w:hint="eastAsia"/>
          <w:kern w:val="0"/>
          <w:sz w:val="28"/>
          <w:szCs w:val="28"/>
        </w:rPr>
        <w:t xml:space="preserve">  </w:t>
      </w:r>
      <w:r w:rsidRPr="007B4B69">
        <w:rPr>
          <w:rFonts w:ascii="仿宋_GB2312" w:eastAsia="仿宋_GB2312" w:hAnsi="宋体" w:cs="宋体" w:hint="eastAsia"/>
          <w:kern w:val="0"/>
          <w:sz w:val="28"/>
          <w:szCs w:val="28"/>
        </w:rPr>
        <w:t>在审核评估过程中要实行信息公开制度，严肃评估纪律，开展“阳光评估”，确保评估工作有序、规范、公平、公正。教育部设立举报电话和信箱（010-66096713，北京市西城区大木仓胡同37号教育部高等教育司评估处，100816）接受社会各方监督。</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附件：</w:t>
      </w:r>
      <w:r>
        <w:rPr>
          <w:rFonts w:ascii="仿宋_GB2312" w:eastAsia="仿宋_GB2312" w:hAnsi="宋体" w:cs="宋体"/>
          <w:noProof/>
          <w:kern w:val="0"/>
          <w:sz w:val="36"/>
          <w:szCs w:val="36"/>
        </w:rPr>
        <mc:AlternateContent>
          <mc:Choice Requires="wps">
            <w:drawing>
              <wp:inline distT="0" distB="0" distL="0" distR="0" wp14:anchorId="6812E303" wp14:editId="379BE93E">
                <wp:extent cx="152400" cy="152400"/>
                <wp:effectExtent l="0" t="0" r="0" b="0"/>
                <wp:docPr id="1" name="矩形 1" descr="C:\DOCUME~1\ADMINI~1\LOCALS~1\Temp\ksohtml\wps76.tm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C:\DOCUME~1\ADMINI~1\LOCALS~1\Temp\ksohtml\wps76.tmp.jpg"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AoFFzJ7gIAAPUFAAAOAAAA&#10;AAAAAAAAAAAAAC4CAABkcnMvZTJvRG9jLnhtbFBLAQItABQABgAIAAAAIQBkVPuT2AAAAAMBAAAP&#10;AAAAAAAAAAAAAAAAAEgFAABkcnMvZG93bnJldi54bWxQSwUGAAAAAAQABADzAAAATQYAAAAA&#10;" filled="f" stroked="f">
                <o:lock v:ext="edit" aspectratio="t"/>
                <w10:anchorlock/>
              </v:rect>
            </w:pict>
          </mc:Fallback>
        </mc:AlternateContent>
      </w:r>
      <w:hyperlink r:id="rId5" w:history="1">
        <w:r w:rsidRPr="007B4B69">
          <w:rPr>
            <w:rFonts w:ascii="仿宋_GB2312" w:eastAsia="仿宋_GB2312" w:hAnsi="宋体" w:cs="宋体" w:hint="eastAsia"/>
            <w:color w:val="0000FF"/>
            <w:kern w:val="0"/>
            <w:sz w:val="28"/>
            <w:szCs w:val="28"/>
            <w:u w:val="single"/>
          </w:rPr>
          <w:t>普通高等学校本科教学工作审核评估方案.</w:t>
        </w:r>
        <w:proofErr w:type="gramStart"/>
        <w:r w:rsidRPr="007B4B69">
          <w:rPr>
            <w:rFonts w:ascii="仿宋_GB2312" w:eastAsia="仿宋_GB2312" w:hAnsi="宋体" w:cs="宋体" w:hint="eastAsia"/>
            <w:color w:val="0000FF"/>
            <w:kern w:val="0"/>
            <w:sz w:val="28"/>
            <w:szCs w:val="28"/>
            <w:u w:val="single"/>
          </w:rPr>
          <w:t>doc</w:t>
        </w:r>
        <w:proofErr w:type="gramEnd"/>
      </w:hyperlink>
    </w:p>
    <w:p w:rsidR="007B4B69" w:rsidRPr="007B4B69" w:rsidRDefault="007B4B69" w:rsidP="002D6E94">
      <w:pPr>
        <w:widowControl/>
        <w:adjustRightInd w:val="0"/>
        <w:snapToGrid w:val="0"/>
        <w:spacing w:line="360" w:lineRule="auto"/>
        <w:ind w:firstLine="420"/>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教育部</w:t>
      </w:r>
    </w:p>
    <w:p w:rsidR="007B4B69" w:rsidRPr="007B4B69" w:rsidRDefault="007B4B69" w:rsidP="002D6E94">
      <w:pPr>
        <w:widowControl/>
        <w:adjustRightInd w:val="0"/>
        <w:snapToGrid w:val="0"/>
        <w:spacing w:line="360" w:lineRule="auto"/>
        <w:ind w:firstLine="420"/>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2013年12月5日</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附件</w:t>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36"/>
          <w:szCs w:val="36"/>
        </w:rPr>
        <w:t xml:space="preserve"> </w:t>
      </w:r>
      <w:r w:rsidRPr="007B4B69">
        <w:rPr>
          <w:rFonts w:ascii="仿宋_GB2312" w:eastAsia="仿宋_GB2312" w:hAnsi="宋体" w:cs="宋体" w:hint="eastAsia"/>
          <w:sz w:val="28"/>
          <w:szCs w:val="28"/>
        </w:rPr>
        <w:t>普通高等学校本科教学工作审核评估方案</w:t>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36"/>
          <w:szCs w:val="36"/>
        </w:rPr>
        <w:t xml:space="preserve"> </w:t>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28"/>
          <w:szCs w:val="28"/>
        </w:rPr>
        <w:t xml:space="preserve">                                       教 育 部</w:t>
      </w:r>
    </w:p>
    <w:p w:rsidR="002D6E94" w:rsidRDefault="007B4B69" w:rsidP="002D6E94">
      <w:pPr>
        <w:widowControl/>
        <w:adjustRightInd w:val="0"/>
        <w:snapToGrid w:val="0"/>
        <w:spacing w:line="360" w:lineRule="auto"/>
        <w:jc w:val="center"/>
        <w:rPr>
          <w:rFonts w:ascii="仿宋_GB2312" w:eastAsia="仿宋_GB2312" w:hAnsi="宋体" w:cs="宋体" w:hint="eastAsia"/>
          <w:sz w:val="28"/>
          <w:szCs w:val="28"/>
        </w:rPr>
      </w:pPr>
      <w:r w:rsidRPr="007B4B69">
        <w:rPr>
          <w:rFonts w:ascii="仿宋_GB2312" w:eastAsia="仿宋_GB2312" w:hAnsi="宋体" w:cs="宋体" w:hint="eastAsia"/>
          <w:sz w:val="28"/>
          <w:szCs w:val="28"/>
        </w:rPr>
        <w:t xml:space="preserve">                                        二</w:t>
      </w:r>
      <w:r w:rsidRPr="007B4B69">
        <w:rPr>
          <w:rFonts w:ascii="仿宋_GB2312" w:eastAsia="仿宋_GB2312" w:hAnsi="宋体" w:cs="宋体" w:hint="eastAsia"/>
          <w:b/>
          <w:bCs/>
          <w:spacing w:val="-20"/>
          <w:sz w:val="28"/>
          <w:szCs w:val="28"/>
        </w:rPr>
        <w:t>○</w:t>
      </w:r>
      <w:r w:rsidRPr="007B4B69">
        <w:rPr>
          <w:rFonts w:ascii="仿宋_GB2312" w:eastAsia="仿宋_GB2312" w:hAnsi="宋体" w:cs="宋体" w:hint="eastAsia"/>
          <w:sz w:val="28"/>
          <w:szCs w:val="28"/>
        </w:rPr>
        <w:t>一三年十二月</w:t>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28"/>
          <w:szCs w:val="28"/>
        </w:rPr>
        <w:t>目    录</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36"/>
          <w:szCs w:val="36"/>
        </w:rPr>
        <w:t xml:space="preserve"> </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一、 普通高等学校本科教学工作审核评估实施办法</w:t>
      </w:r>
    </w:p>
    <w:p w:rsidR="007B4B69" w:rsidRPr="007B4B69" w:rsidRDefault="007B4B69" w:rsidP="002D6E94">
      <w:pPr>
        <w:widowControl/>
        <w:adjustRightInd w:val="0"/>
        <w:snapToGrid w:val="0"/>
        <w:spacing w:line="360" w:lineRule="auto"/>
        <w:ind w:leftChars="-10" w:left="-1" w:hangingChars="7" w:hanging="20"/>
        <w:jc w:val="left"/>
        <w:rPr>
          <w:rFonts w:ascii="宋体" w:eastAsia="宋体" w:hAnsi="宋体" w:cs="宋体"/>
          <w:kern w:val="0"/>
          <w:sz w:val="24"/>
          <w:szCs w:val="24"/>
        </w:rPr>
      </w:pPr>
      <w:r w:rsidRPr="007B4B69">
        <w:rPr>
          <w:rFonts w:ascii="仿宋_GB2312" w:eastAsia="仿宋_GB2312" w:hAnsi="宋体" w:cs="宋体" w:hint="eastAsia"/>
          <w:sz w:val="28"/>
          <w:szCs w:val="28"/>
        </w:rPr>
        <w:t>二、</w:t>
      </w:r>
      <w:r w:rsidRPr="007B4B69">
        <w:rPr>
          <w:rFonts w:ascii="仿宋_GB2312" w:eastAsia="仿宋_GB2312" w:hAnsi="宋体" w:cs="宋体" w:hint="eastAsia"/>
          <w:sz w:val="28"/>
          <w:szCs w:val="28"/>
        </w:rPr>
        <w:t> </w:t>
      </w:r>
      <w:r w:rsidRPr="007B4B69">
        <w:rPr>
          <w:rFonts w:ascii="仿宋_GB2312" w:eastAsia="仿宋_GB2312" w:hAnsi="宋体" w:cs="宋体" w:hint="eastAsia"/>
          <w:sz w:val="28"/>
          <w:szCs w:val="28"/>
        </w:rPr>
        <w:t>普通高等学校本科教学工作审核评估范围</w:t>
      </w:r>
    </w:p>
    <w:p w:rsidR="002D6E94" w:rsidRDefault="007B4B69" w:rsidP="002D6E94">
      <w:pPr>
        <w:widowControl/>
        <w:adjustRightInd w:val="0"/>
        <w:snapToGrid w:val="0"/>
        <w:spacing w:line="360" w:lineRule="auto"/>
        <w:jc w:val="center"/>
        <w:rPr>
          <w:rFonts w:ascii="仿宋_GB2312" w:eastAsia="仿宋_GB2312" w:hAnsi="宋体" w:cs="宋体"/>
          <w:sz w:val="28"/>
          <w:szCs w:val="28"/>
        </w:rPr>
      </w:pPr>
      <w:r w:rsidRPr="007B4B69">
        <w:rPr>
          <w:rFonts w:ascii="仿宋_GB2312" w:eastAsia="仿宋_GB2312" w:hAnsi="宋体" w:cs="宋体" w:hint="eastAsia"/>
          <w:sz w:val="36"/>
          <w:szCs w:val="36"/>
        </w:rPr>
        <w:t xml:space="preserve"> </w:t>
      </w:r>
      <w:r w:rsidRPr="007B4B69">
        <w:rPr>
          <w:rFonts w:ascii="仿宋_GB2312" w:eastAsia="仿宋_GB2312" w:hAnsi="宋体" w:cs="宋体" w:hint="eastAsia"/>
          <w:sz w:val="28"/>
          <w:szCs w:val="28"/>
        </w:rPr>
        <w:t xml:space="preserve"> </w:t>
      </w:r>
    </w:p>
    <w:p w:rsidR="002D6E94" w:rsidRDefault="002D6E94">
      <w:pPr>
        <w:widowControl/>
        <w:jc w:val="left"/>
        <w:rPr>
          <w:rFonts w:ascii="仿宋_GB2312" w:eastAsia="仿宋_GB2312" w:hAnsi="宋体" w:cs="宋体"/>
          <w:sz w:val="28"/>
          <w:szCs w:val="28"/>
        </w:rPr>
      </w:pPr>
      <w:r>
        <w:rPr>
          <w:rFonts w:ascii="仿宋_GB2312" w:eastAsia="仿宋_GB2312" w:hAnsi="宋体" w:cs="宋体"/>
          <w:sz w:val="28"/>
          <w:szCs w:val="28"/>
        </w:rPr>
        <w:br w:type="page"/>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28"/>
          <w:szCs w:val="28"/>
        </w:rPr>
        <w:lastRenderedPageBreak/>
        <w:t>一、普通高等学校本科教学工作审核评估实施办法</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 xml:space="preserve">    为贯彻落实党的十八大和《国家中长期教育改革和发展规划纲要(2010—2020年)》精神，提高本科教育教学质量，根据《教育部关于普通高等学校本科教学评估工作的意见》（</w:t>
      </w:r>
      <w:proofErr w:type="gramStart"/>
      <w:r w:rsidRPr="007B4B69">
        <w:rPr>
          <w:rFonts w:ascii="仿宋_GB2312" w:eastAsia="仿宋_GB2312" w:hAnsi="宋体" w:cs="宋体" w:hint="eastAsia"/>
          <w:sz w:val="28"/>
          <w:szCs w:val="28"/>
        </w:rPr>
        <w:t>教高〔2011〕</w:t>
      </w:r>
      <w:proofErr w:type="gramEnd"/>
      <w:r w:rsidRPr="007B4B69">
        <w:rPr>
          <w:rFonts w:ascii="仿宋_GB2312" w:eastAsia="仿宋_GB2312" w:hAnsi="宋体" w:cs="宋体" w:hint="eastAsia"/>
          <w:sz w:val="28"/>
          <w:szCs w:val="28"/>
        </w:rPr>
        <w:t>9号）</w:t>
      </w:r>
      <w:r w:rsidRPr="007B4B69">
        <w:rPr>
          <w:rFonts w:ascii="仿宋_GB2312" w:eastAsia="仿宋_GB2312" w:hAnsi="宋体" w:cs="宋体" w:hint="eastAsia"/>
          <w:kern w:val="0"/>
          <w:sz w:val="28"/>
          <w:szCs w:val="28"/>
        </w:rPr>
        <w:t>，现制定普通高等学校本科教学工作审核评估（以下简称审核评估）实施办法。</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 xml:space="preserve">    （一）审核评估指导思想及总体要求</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1．审核评估指导思想。以党的十八大精神和教育规划纲要为指导，坚持“以评促建、以评促改、以评促管、评建结合、重在建设”的方针；突出内涵建设，突出特色发展；强化办学合理定位，强化人才培养中心地位，强化质量保障体系建设，不断提高人才培养质量。</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2. 审核评估总体要求。审核评估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w:t>
      </w:r>
      <w:proofErr w:type="gramStart"/>
      <w:r w:rsidRPr="007B4B69">
        <w:rPr>
          <w:rFonts w:ascii="仿宋_GB2312" w:eastAsia="仿宋_GB2312" w:hAnsi="宋体" w:cs="宋体" w:hint="eastAsia"/>
          <w:kern w:val="0"/>
          <w:sz w:val="28"/>
          <w:szCs w:val="28"/>
        </w:rPr>
        <w:t>作出</w:t>
      </w:r>
      <w:proofErr w:type="gramEnd"/>
      <w:r w:rsidRPr="007B4B69">
        <w:rPr>
          <w:rFonts w:ascii="仿宋_GB2312" w:eastAsia="仿宋_GB2312" w:hAnsi="宋体" w:cs="宋体" w:hint="eastAsia"/>
          <w:kern w:val="0"/>
          <w:sz w:val="28"/>
          <w:szCs w:val="28"/>
        </w:rPr>
        <w:t>审核判断，以数据为依据、以事实来证明。</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 xml:space="preserve">    本次普通高等学校本科教学工作审核评估时间为2014年至2018年。</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 xml:space="preserve">    （二）审核评估对象及条件</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3. 审核评估对象。凡参加普通高等学校本科教学工作水平评估获得“合格”及以上结论的高校均应参加审核评估。参加普通高等学</w:t>
      </w:r>
      <w:r w:rsidRPr="007B4B69">
        <w:rPr>
          <w:rFonts w:ascii="仿宋_GB2312" w:eastAsia="仿宋_GB2312" w:hAnsi="宋体" w:cs="宋体" w:hint="eastAsia"/>
          <w:kern w:val="0"/>
          <w:sz w:val="28"/>
          <w:szCs w:val="28"/>
        </w:rPr>
        <w:lastRenderedPageBreak/>
        <w:t>校本科教学工作合格评估获得“通过”结论的新建本科院校，5年后须参加审核评估。</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4. 审核评估条件。参加审核评估学校办学条件指标应达到教育部《普通高等学校基本办学条件指标（试行）》（教发〔2004〕2号）规定的合格标准；</w:t>
      </w:r>
      <w:r w:rsidRPr="007B4B69">
        <w:rPr>
          <w:rFonts w:ascii="仿宋_GB2312" w:eastAsia="仿宋_GB2312" w:hAnsi="宋体" w:cs="宋体" w:hint="eastAsia"/>
          <w:sz w:val="28"/>
          <w:szCs w:val="28"/>
        </w:rPr>
        <w:t>公办普通本科高校</w:t>
      </w:r>
      <w:r w:rsidRPr="007B4B69">
        <w:rPr>
          <w:rFonts w:ascii="仿宋_GB2312" w:eastAsia="仿宋_GB2312" w:hAnsi="宋体" w:cs="宋体" w:hint="eastAsia"/>
          <w:kern w:val="0"/>
          <w:sz w:val="28"/>
          <w:szCs w:val="28"/>
        </w:rPr>
        <w:t>生均拨款须达到《财政部关于进一步提高地方普通本科高校生均拨款水平的意见》（</w:t>
      </w:r>
      <w:proofErr w:type="gramStart"/>
      <w:r w:rsidRPr="007B4B69">
        <w:rPr>
          <w:rFonts w:ascii="仿宋_GB2312" w:eastAsia="仿宋_GB2312" w:hAnsi="宋体" w:cs="宋体" w:hint="eastAsia"/>
          <w:kern w:val="0"/>
          <w:sz w:val="28"/>
          <w:szCs w:val="28"/>
        </w:rPr>
        <w:t>财教〔2010〕</w:t>
      </w:r>
      <w:proofErr w:type="gramEnd"/>
      <w:r w:rsidRPr="007B4B69">
        <w:rPr>
          <w:rFonts w:ascii="仿宋_GB2312" w:eastAsia="仿宋_GB2312" w:hAnsi="宋体" w:cs="宋体" w:hint="eastAsia"/>
          <w:kern w:val="0"/>
          <w:sz w:val="28"/>
          <w:szCs w:val="28"/>
        </w:rPr>
        <w:t>567号）规定的相应标准。</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 xml:space="preserve">    （三）审核评估范围及重点</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5. 审核评估范围。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6. 审核评估重点。审核评估核心是对学校人才培养目标与培养效果的实现状况进行评价。重点考察办学定位和人才培养目标与国家和区域经济社会发展需求的适应度，教师和教学资源条件的保障度，教学和质量保障体系运行的有效度，学生和社会用人单位的满意度。</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sz w:val="28"/>
          <w:szCs w:val="28"/>
        </w:rPr>
        <w:t>（四）审核评估组织与管理</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7．审核评估组织。教育部统筹协调全国普通高等学校本科教学审核评估工作，制定审核评估总体方案及规划，指导监督审核评估工作；省（区、市）教育行政部门负责组织本地区所属院校的审核评估工作，可结合本地区实际情况，在教育部审核评估方案基础上进行补充，制定本地区审核评估具体方案和评估计划，并报教育部备案后实施。</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lastRenderedPageBreak/>
        <w:t xml:space="preserve">    8．审核评估实施。审核评估要积极探索、建立健全与管办评分离相适应的评估工作组织体系，充分发挥第三方评估的作用。中央部委所属院校的审核评估由教育部高等教育教学评估中心（以下简称教育部评估中心）负责实施；地方所属院校的审核评估由省级教育行政部门负责，逐步形成管办评分离的评估机制。</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9．审核评估专家。为保证审核评估专家工作水平，提高工作效率，由教育部评估中心分别建立审核评估专家库和全国高校教学基本状态数据库系统，为全国普通高等学校审核评估工作提供开放共享的服务平台。专家队伍应包括熟悉教学、管理和评估工作的教育专家，还应吸收行业、企业和社会用人部门有关专家参加。教育部评估中心与各地评估组织部门共同协商对审核评估专家进行培训。在审核评估组织实施中，外省（区、市）专家一般不少于进校考察专家组人数的三分之一。</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10. 审核评估经费。审核评估经费应由审核评估具体组织部门负责落实。</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sz w:val="28"/>
          <w:szCs w:val="28"/>
        </w:rPr>
        <w:t>（五）审核评估程序与任务</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审核评估程序包括学校自评、专家进校考察、评估结论审议与发布等。</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11．学校自评。参评学校根据本办法和审核评估内容及上一次本科教学工作评估存在问题的整改情况，结合自身实际，认真开展自我评估，按要求填报本科教学基本状态数据（见教育部评估中心网页</w:t>
      </w:r>
      <w:hyperlink w:history="1">
        <w:r w:rsidRPr="007B4B69">
          <w:rPr>
            <w:rFonts w:ascii="仿宋_GB2312" w:eastAsia="仿宋_GB2312" w:hAnsi="宋体" w:cs="宋体" w:hint="eastAsia"/>
            <w:color w:val="0000FF"/>
            <w:kern w:val="0"/>
            <w:sz w:val="28"/>
            <w:szCs w:val="28"/>
            <w:u w:val="single"/>
          </w:rPr>
          <w:t>http://udb.heec.edu.cn</w:t>
        </w:r>
      </w:hyperlink>
      <w:r w:rsidRPr="007B4B69">
        <w:rPr>
          <w:rFonts w:ascii="仿宋_GB2312" w:eastAsia="仿宋_GB2312" w:hAnsi="宋体" w:cs="宋体" w:hint="eastAsia"/>
          <w:kern w:val="0"/>
          <w:sz w:val="28"/>
          <w:szCs w:val="28"/>
        </w:rPr>
        <w:t>），在此基础上形成《自评报告》和《教学基本状态数据分析报告》，同时提交各年度《本科教学质量报告》。</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12．专家进校考察。专家组在审核学校《自评报告》、年度《本科教学质量报告》及《教学基本状态数据分析报告》基础上，通过查</w:t>
      </w:r>
      <w:r w:rsidRPr="007B4B69">
        <w:rPr>
          <w:rFonts w:ascii="仿宋_GB2312" w:eastAsia="仿宋_GB2312" w:hAnsi="宋体" w:cs="宋体" w:hint="eastAsia"/>
          <w:kern w:val="0"/>
          <w:sz w:val="28"/>
          <w:szCs w:val="28"/>
        </w:rPr>
        <w:lastRenderedPageBreak/>
        <w:t>阅材料、个别访谈、集体访谈、考察教学设施与</w:t>
      </w:r>
      <w:r w:rsidRPr="007B4B69">
        <w:rPr>
          <w:rFonts w:ascii="仿宋_GB2312" w:eastAsia="仿宋_GB2312" w:hAnsi="宋体" w:cs="宋体" w:hint="eastAsia"/>
          <w:sz w:val="28"/>
          <w:szCs w:val="28"/>
        </w:rPr>
        <w:t>公共服务</w:t>
      </w:r>
      <w:r w:rsidRPr="007B4B69">
        <w:rPr>
          <w:rFonts w:ascii="仿宋_GB2312" w:eastAsia="仿宋_GB2312" w:hAnsi="宋体" w:cs="宋体" w:hint="eastAsia"/>
          <w:kern w:val="0"/>
          <w:sz w:val="28"/>
          <w:szCs w:val="28"/>
        </w:rPr>
        <w:t>设施、观摩课堂教学与实践教学等形式，对学校教学工作做出公正客观评价，形成写实性《审核评估报告》。</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13. 评估报告内容。《审核评估报告》应在全面深入考察和准确把握所有审核内容基础上，对各审核项目及其要素的审核情况进行描述，并围绕审核重点对学校本科人才培养总体情况</w:t>
      </w:r>
      <w:proofErr w:type="gramStart"/>
      <w:r w:rsidRPr="007B4B69">
        <w:rPr>
          <w:rFonts w:ascii="仿宋_GB2312" w:eastAsia="仿宋_GB2312" w:hAnsi="宋体" w:cs="宋体" w:hint="eastAsia"/>
          <w:kern w:val="0"/>
          <w:sz w:val="28"/>
          <w:szCs w:val="28"/>
        </w:rPr>
        <w:t>作出</w:t>
      </w:r>
      <w:proofErr w:type="gramEnd"/>
      <w:r w:rsidRPr="007B4B69">
        <w:rPr>
          <w:rFonts w:ascii="仿宋_GB2312" w:eastAsia="仿宋_GB2312" w:hAnsi="宋体" w:cs="宋体" w:hint="eastAsia"/>
          <w:kern w:val="0"/>
          <w:sz w:val="28"/>
          <w:szCs w:val="28"/>
        </w:rPr>
        <w:t>判断和评价，同时明确学校教学工作值得肯定、需要改进和必须整改的方面。</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14．评估结论审议与发布。各省（区、市）教育行政部门和教育部评估中心应按年度将所组织的审核评估情况形成总结报告报教育部。教育部组织评估专家委员会进行审议，公布审议结果，并由教育部评估中心和各地教育行政部门公开发布参评高校的审核评估结论。 </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15. 评估结果。审核评估结果是学校教育教学质量的反映，与学校办学、发展直接相关，学校要根据审核评估中提出的问题及建议进行整改，有关教育行政部门应对评估学校的整改情况进行指导和检查，并在政策制定、资源配置、招生规模、学科专业建设等方面予以充分考虑，促进学校教学质量不断提高。</w:t>
      </w:r>
    </w:p>
    <w:p w:rsidR="007B4B69" w:rsidRPr="007B4B69" w:rsidRDefault="007B4B69" w:rsidP="002D6E94">
      <w:pPr>
        <w:widowControl/>
        <w:adjustRightInd w:val="0"/>
        <w:snapToGrid w:val="0"/>
        <w:spacing w:line="360" w:lineRule="auto"/>
        <w:ind w:firstLine="560"/>
        <w:jc w:val="left"/>
        <w:rPr>
          <w:rFonts w:ascii="宋体" w:eastAsia="宋体" w:hAnsi="宋体" w:cs="宋体"/>
          <w:kern w:val="0"/>
          <w:sz w:val="24"/>
          <w:szCs w:val="24"/>
        </w:rPr>
      </w:pPr>
      <w:r w:rsidRPr="007B4B69">
        <w:rPr>
          <w:rFonts w:ascii="仿宋_GB2312" w:eastAsia="仿宋_GB2312" w:hAnsi="宋体" w:cs="宋体" w:hint="eastAsia"/>
          <w:sz w:val="28"/>
          <w:szCs w:val="28"/>
        </w:rPr>
        <w:t>（六）审核评估纪律与监督</w:t>
      </w:r>
    </w:p>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    16. 纪律监督。审核评估要实行信息公开制度，严肃评估纪律，开展“阳光评估”，广泛接受学校、教师、学生和社会的监督，确保评估工作公平公正。教育部委托评估专家委员会，对参评学校和评估专家以及评估组织工作的规范性、公正性进行监督检查，同时受理有关申诉，对评估过程中违反相关规定的行为进行责任追究，</w:t>
      </w:r>
      <w:proofErr w:type="gramStart"/>
      <w:r w:rsidRPr="007B4B69">
        <w:rPr>
          <w:rFonts w:ascii="仿宋_GB2312" w:eastAsia="仿宋_GB2312" w:hAnsi="宋体" w:cs="宋体" w:hint="eastAsia"/>
          <w:kern w:val="0"/>
          <w:sz w:val="28"/>
          <w:szCs w:val="28"/>
        </w:rPr>
        <w:t>作出</w:t>
      </w:r>
      <w:proofErr w:type="gramEnd"/>
      <w:r w:rsidRPr="007B4B69">
        <w:rPr>
          <w:rFonts w:ascii="仿宋_GB2312" w:eastAsia="仿宋_GB2312" w:hAnsi="宋体" w:cs="宋体" w:hint="eastAsia"/>
          <w:kern w:val="0"/>
          <w:sz w:val="28"/>
          <w:szCs w:val="28"/>
        </w:rPr>
        <w:t>严肃处理。</w:t>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36"/>
          <w:szCs w:val="36"/>
        </w:rPr>
        <w:t xml:space="preserve"> </w:t>
      </w:r>
    </w:p>
    <w:p w:rsidR="002D6E94" w:rsidRDefault="002D6E94">
      <w:pPr>
        <w:widowControl/>
        <w:jc w:val="left"/>
        <w:rPr>
          <w:rFonts w:ascii="仿宋_GB2312" w:eastAsia="仿宋_GB2312" w:hAnsi="宋体" w:cs="宋体"/>
          <w:sz w:val="28"/>
          <w:szCs w:val="28"/>
        </w:rPr>
      </w:pPr>
      <w:r>
        <w:rPr>
          <w:rFonts w:ascii="仿宋_GB2312" w:eastAsia="仿宋_GB2312" w:hAnsi="宋体" w:cs="宋体"/>
          <w:sz w:val="28"/>
          <w:szCs w:val="28"/>
        </w:rPr>
        <w:br w:type="page"/>
      </w:r>
    </w:p>
    <w:p w:rsidR="007B4B69" w:rsidRPr="007B4B69" w:rsidRDefault="007B4B69" w:rsidP="002D6E94">
      <w:pPr>
        <w:widowControl/>
        <w:adjustRightInd w:val="0"/>
        <w:snapToGrid w:val="0"/>
        <w:spacing w:line="360" w:lineRule="auto"/>
        <w:jc w:val="center"/>
        <w:rPr>
          <w:rFonts w:ascii="宋体" w:eastAsia="宋体" w:hAnsi="宋体" w:cs="宋体"/>
          <w:kern w:val="0"/>
          <w:sz w:val="24"/>
          <w:szCs w:val="24"/>
        </w:rPr>
      </w:pPr>
      <w:r w:rsidRPr="007B4B69">
        <w:rPr>
          <w:rFonts w:ascii="仿宋_GB2312" w:eastAsia="仿宋_GB2312" w:hAnsi="宋体" w:cs="宋体" w:hint="eastAsia"/>
          <w:sz w:val="28"/>
          <w:szCs w:val="28"/>
        </w:rPr>
        <w:lastRenderedPageBreak/>
        <w:t>二、普通高等学校本科教学工作审核评估范围</w:t>
      </w:r>
    </w:p>
    <w:tbl>
      <w:tblPr>
        <w:tblW w:w="9735" w:type="dxa"/>
        <w:jc w:val="center"/>
        <w:tblLayout w:type="fixed"/>
        <w:tblLook w:val="04A0" w:firstRow="1" w:lastRow="0" w:firstColumn="1" w:lastColumn="0" w:noHBand="0" w:noVBand="1"/>
      </w:tblPr>
      <w:tblGrid>
        <w:gridCol w:w="1473"/>
        <w:gridCol w:w="1742"/>
        <w:gridCol w:w="6520"/>
      </w:tblGrid>
      <w:tr w:rsidR="007B4B69" w:rsidRPr="007B4B69" w:rsidTr="007B4B69">
        <w:trPr>
          <w:cantSplit/>
          <w:trHeight w:val="628"/>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50" w:before="156" w:afterLines="50" w:after="156" w:line="360" w:lineRule="auto"/>
              <w:ind w:hanging="11"/>
              <w:jc w:val="center"/>
              <w:rPr>
                <w:rFonts w:ascii="宋体" w:eastAsia="宋体" w:hAnsi="宋体" w:cs="宋体"/>
                <w:kern w:val="0"/>
                <w:sz w:val="24"/>
                <w:szCs w:val="24"/>
              </w:rPr>
            </w:pPr>
            <w:r w:rsidRPr="007B4B69">
              <w:rPr>
                <w:rFonts w:ascii="仿宋_GB2312" w:eastAsia="仿宋_GB2312" w:hAnsi="宋体" w:cs="宋体" w:hint="eastAsia"/>
                <w:b/>
                <w:bCs/>
                <w:kern w:val="0"/>
                <w:sz w:val="28"/>
                <w:szCs w:val="28"/>
              </w:rPr>
              <w:t>审核项目</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50" w:before="156" w:afterLines="50" w:after="156" w:line="360" w:lineRule="auto"/>
              <w:ind w:hanging="11"/>
              <w:jc w:val="center"/>
              <w:rPr>
                <w:rFonts w:ascii="宋体" w:eastAsia="宋体" w:hAnsi="宋体" w:cs="宋体"/>
                <w:kern w:val="0"/>
                <w:sz w:val="24"/>
                <w:szCs w:val="24"/>
              </w:rPr>
            </w:pPr>
            <w:r w:rsidRPr="007B4B69">
              <w:rPr>
                <w:rFonts w:ascii="仿宋_GB2312" w:eastAsia="仿宋_GB2312" w:hAnsi="宋体" w:cs="宋体" w:hint="eastAsia"/>
                <w:b/>
                <w:bCs/>
                <w:kern w:val="0"/>
                <w:sz w:val="28"/>
                <w:szCs w:val="28"/>
              </w:rPr>
              <w:t>审核要素</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50" w:before="156" w:afterLines="50" w:after="156" w:line="360" w:lineRule="auto"/>
              <w:ind w:hanging="11"/>
              <w:jc w:val="center"/>
              <w:rPr>
                <w:rFonts w:ascii="宋体" w:eastAsia="宋体" w:hAnsi="宋体" w:cs="宋体"/>
                <w:kern w:val="0"/>
                <w:sz w:val="24"/>
                <w:szCs w:val="24"/>
              </w:rPr>
            </w:pPr>
            <w:r w:rsidRPr="007B4B69">
              <w:rPr>
                <w:rFonts w:ascii="仿宋_GB2312" w:eastAsia="仿宋_GB2312" w:hAnsi="宋体" w:cs="宋体" w:hint="eastAsia"/>
                <w:b/>
                <w:bCs/>
                <w:kern w:val="0"/>
                <w:sz w:val="28"/>
                <w:szCs w:val="28"/>
              </w:rPr>
              <w:t>审核要点</w:t>
            </w:r>
          </w:p>
        </w:tc>
      </w:tr>
      <w:tr w:rsidR="007B4B69" w:rsidRPr="007B4B69" w:rsidTr="007B4B69">
        <w:trPr>
          <w:cantSplit/>
          <w:trHeight w:val="834"/>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1.定位与</w:t>
            </w:r>
          </w:p>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目标</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1.1办学定位</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（1）学校办学方向、办学定位及确定依据</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（2）办学定位在学校发展规划中的体现</w:t>
            </w:r>
          </w:p>
        </w:tc>
      </w:tr>
      <w:tr w:rsidR="007B4B69" w:rsidRPr="007B4B69" w:rsidTr="007B4B69">
        <w:trPr>
          <w:cantSplit/>
          <w:trHeight w:val="846"/>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1.2培养目标</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（1）学校人才</w:t>
            </w:r>
            <w:proofErr w:type="gramStart"/>
            <w:r w:rsidRPr="007B4B69">
              <w:rPr>
                <w:rFonts w:ascii="仿宋_GB2312" w:eastAsia="仿宋_GB2312" w:hAnsi="宋体" w:cs="宋体" w:hint="eastAsia"/>
                <w:kern w:val="0"/>
                <w:sz w:val="28"/>
                <w:szCs w:val="28"/>
              </w:rPr>
              <w:t>培养总</w:t>
            </w:r>
            <w:proofErr w:type="gramEnd"/>
            <w:r w:rsidRPr="007B4B69">
              <w:rPr>
                <w:rFonts w:ascii="仿宋_GB2312" w:eastAsia="仿宋_GB2312" w:hAnsi="宋体" w:cs="宋体" w:hint="eastAsia"/>
                <w:kern w:val="0"/>
                <w:sz w:val="28"/>
                <w:szCs w:val="28"/>
              </w:rPr>
              <w:t>目标及确定依据</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（2）专业培养目标、标准及确定依据</w:t>
            </w:r>
          </w:p>
        </w:tc>
      </w:tr>
      <w:tr w:rsidR="007B4B69" w:rsidRPr="007B4B69" w:rsidTr="007B4B69">
        <w:trPr>
          <w:cantSplit/>
          <w:trHeight w:val="1128"/>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1.3人才培养中心地位</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（1）落实学校人才培养中心地位的政策与措施</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（2）人才培养中心地位的体现与效果</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（3）学校领导对本科教学的重视情况</w:t>
            </w:r>
          </w:p>
        </w:tc>
      </w:tr>
      <w:tr w:rsidR="007B4B69" w:rsidRPr="007B4B69" w:rsidTr="007B4B69">
        <w:trPr>
          <w:cantSplit/>
          <w:trHeight w:val="832"/>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2.师资队伍</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2.1数量与结构</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（1）教师队伍的数量与结构</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（2）教师队伍建设规划及发展态势</w:t>
            </w:r>
          </w:p>
        </w:tc>
      </w:tr>
      <w:tr w:rsidR="007B4B69" w:rsidRPr="007B4B69" w:rsidTr="007B4B69">
        <w:trPr>
          <w:cantSplit/>
          <w:trHeight w:val="844"/>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2.2教育教学水平</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（1）专任教师的专业水平与教学能力</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（2）学校师德师风建设措施与效果</w:t>
            </w:r>
          </w:p>
        </w:tc>
      </w:tr>
      <w:tr w:rsidR="007B4B69" w:rsidRPr="007B4B69" w:rsidTr="007B4B69">
        <w:trPr>
          <w:cantSplit/>
          <w:trHeight w:val="842"/>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2.3教师教学投入</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（1）教授、副教授为本科生上课情况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（2）教师开展教学研究、参与教学改革与建设情况</w:t>
            </w:r>
          </w:p>
        </w:tc>
      </w:tr>
      <w:tr w:rsidR="007B4B69" w:rsidRPr="007B4B69" w:rsidTr="007B4B69">
        <w:trPr>
          <w:cantSplit/>
          <w:trHeight w:val="84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2.4教师发展与服务</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（1）提升教师教学能力和专业水平的政策措施</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（2）服务教师职业生涯发展的政策措施</w:t>
            </w:r>
          </w:p>
        </w:tc>
      </w:tr>
      <w:tr w:rsidR="007B4B69" w:rsidRPr="007B4B69" w:rsidTr="007B4B69">
        <w:trPr>
          <w:cantSplit/>
          <w:trHeight w:val="1145"/>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3.教学资源</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3.1教学经费</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（1）教学经费投入及保障机制</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（2）学校教学经费年度变化情况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（3）教学经费分配方式、比例及使用效益</w:t>
            </w:r>
          </w:p>
        </w:tc>
      </w:tr>
      <w:tr w:rsidR="007B4B69" w:rsidRPr="007B4B69" w:rsidTr="007B4B69">
        <w:trPr>
          <w:cantSplit/>
          <w:trHeight w:val="111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3.2教学设施</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（1）教学设施满足教学需要情况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（2）教学、科研设施的开放程度及利用情况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（3）教学信息化条件及资源建设</w:t>
            </w:r>
          </w:p>
        </w:tc>
      </w:tr>
      <w:tr w:rsidR="007B4B69" w:rsidRPr="007B4B69" w:rsidTr="007B4B69">
        <w:trPr>
          <w:cantSplit/>
          <w:trHeight w:val="1145"/>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3.3专业设置与培养方案</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（1）专业建设规划与执行</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（2）专业设置与结构调整，优势专业与新专业建设</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（3）培养方案的制定、执行与调整</w:t>
            </w:r>
          </w:p>
        </w:tc>
      </w:tr>
      <w:tr w:rsidR="007B4B69" w:rsidRPr="007B4B69" w:rsidTr="007B4B69">
        <w:trPr>
          <w:cantSplit/>
          <w:trHeight w:val="1242"/>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3.4课程资源</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（1）课程建设规划与执行</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（2）课程的数量、结构及优质课程资源建设</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（3）教材建设与选用</w:t>
            </w:r>
          </w:p>
        </w:tc>
      </w:tr>
      <w:tr w:rsidR="007B4B69" w:rsidRPr="007B4B69" w:rsidTr="007B4B69">
        <w:trPr>
          <w:cantSplit/>
          <w:trHeight w:val="1117"/>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r w:rsidRPr="007B4B69">
              <w:rPr>
                <w:rFonts w:ascii="仿宋_GB2312" w:eastAsia="仿宋_GB2312" w:hAnsi="宋体" w:cs="宋体" w:hint="eastAsia"/>
                <w:sz w:val="28"/>
                <w:szCs w:val="28"/>
              </w:rPr>
              <w:t>3.5社会资源</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（1）合作办学、合作育人的措施与效果</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（2）共建教学资源情况</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（3）社会捐赠情况</w:t>
            </w:r>
          </w:p>
        </w:tc>
      </w:tr>
      <w:tr w:rsidR="007B4B69" w:rsidRPr="007B4B69" w:rsidTr="007B4B69">
        <w:trPr>
          <w:cantSplit/>
          <w:trHeight w:val="1125"/>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4.培养过程</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4.1教学改革</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（1）教学改革的总体思路及政策措施</w:t>
            </w:r>
          </w:p>
          <w:p w:rsidR="007B4B69" w:rsidRPr="007B4B69" w:rsidRDefault="007B4B69" w:rsidP="002D6E94">
            <w:pPr>
              <w:widowControl/>
              <w:adjustRightInd w:val="0"/>
              <w:snapToGrid w:val="0"/>
              <w:spacing w:beforeLines="10" w:before="31" w:afterLines="10" w:after="31" w:line="360" w:lineRule="auto"/>
              <w:ind w:hanging="11"/>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（2）人才培养模式改革，人才培养体制、机制改革</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（3）教学及管理信息化</w:t>
            </w:r>
          </w:p>
        </w:tc>
      </w:tr>
      <w:tr w:rsidR="007B4B69" w:rsidRPr="007B4B69" w:rsidTr="007B4B69">
        <w:trPr>
          <w:cantSplit/>
          <w:trHeight w:val="141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4.2课堂教学</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（1）教学大纲的制订与执行</w:t>
            </w:r>
          </w:p>
          <w:p w:rsidR="007B4B69" w:rsidRPr="007B4B69" w:rsidRDefault="007B4B69" w:rsidP="002D6E94">
            <w:pPr>
              <w:widowControl/>
              <w:adjustRightInd w:val="0"/>
              <w:snapToGrid w:val="0"/>
              <w:spacing w:beforeLines="10" w:before="31" w:afterLines="10" w:after="31" w:line="360" w:lineRule="auto"/>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（2）教学内容对人才培养目标的体现，科研转化教学</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（3）教师教学方法，学生学习方式</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（4）考试考核的方式方法及管理</w:t>
            </w:r>
          </w:p>
        </w:tc>
      </w:tr>
      <w:tr w:rsidR="007B4B69" w:rsidRPr="007B4B69" w:rsidTr="007B4B69">
        <w:trPr>
          <w:cantSplit/>
          <w:trHeight w:val="112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4.3实践教学</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（1）实践教学体系建设</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（2）实验教学与实验室开放情况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（3）实习实训、社会实践、毕业设计（论文）的落实及效果</w:t>
            </w:r>
          </w:p>
        </w:tc>
      </w:tr>
      <w:tr w:rsidR="007B4B69" w:rsidRPr="007B4B69" w:rsidTr="007B4B69">
        <w:trPr>
          <w:cantSplit/>
          <w:trHeight w:val="1178"/>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4.4第二课堂</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（1）第二课堂育人体系建设与保障措施</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（2）社团建设与校园文化、科技活动及育人效果</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（3）学生国内外交流学习情况</w:t>
            </w:r>
          </w:p>
        </w:tc>
      </w:tr>
      <w:tr w:rsidR="007B4B69" w:rsidRPr="007B4B69" w:rsidTr="007B4B69">
        <w:trPr>
          <w:cantSplit/>
          <w:trHeight w:val="784"/>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5.学生发展</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5.1招生及生源情况</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（1）学校总体生源状况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（2）各专业生源数量及特征</w:t>
            </w:r>
          </w:p>
        </w:tc>
      </w:tr>
      <w:tr w:rsidR="007B4B69" w:rsidRPr="007B4B69" w:rsidTr="007B4B69">
        <w:trPr>
          <w:cantSplit/>
          <w:trHeight w:val="979"/>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5.2学生指导与服务</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（1）学生指导与服务的内容及效果</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（2）学生指导与服务的组织与条件保障</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（3）学生对指导与服务的评价</w:t>
            </w:r>
          </w:p>
        </w:tc>
      </w:tr>
      <w:tr w:rsidR="007B4B69" w:rsidRPr="007B4B69" w:rsidTr="007B4B69">
        <w:trPr>
          <w:cantSplit/>
          <w:trHeight w:val="1145"/>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5.3学风与学习效果</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（1）学风建设的措施与效果</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（2）学生学业成绩及综合素质表现</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（3）学生对自我学习与成长的满意度</w:t>
            </w:r>
          </w:p>
        </w:tc>
      </w:tr>
      <w:tr w:rsidR="007B4B69" w:rsidRPr="007B4B69" w:rsidTr="007B4B69">
        <w:trPr>
          <w:cantSplit/>
          <w:trHeight w:val="76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5.4就业与发展</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（1）毕业生就业率与职业发展情况</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（2）用人单位对毕业生评价</w:t>
            </w:r>
          </w:p>
        </w:tc>
      </w:tr>
      <w:tr w:rsidR="007B4B69" w:rsidRPr="007B4B69" w:rsidTr="007B4B69">
        <w:trPr>
          <w:cantSplit/>
          <w:trHeight w:val="1239"/>
          <w:jc w:val="center"/>
        </w:trPr>
        <w:tc>
          <w:tcPr>
            <w:tcW w:w="1473" w:type="dxa"/>
            <w:vMerge w:val="restart"/>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6.质量保障</w:t>
            </w: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6.1教学质量保障体系</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（1）质量标准建设</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（2）学校质量保障模式及体系结构</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（3）质量保障体系的组织、制度建设</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（4）教学质量管理队伍建设</w:t>
            </w:r>
          </w:p>
        </w:tc>
      </w:tr>
      <w:tr w:rsidR="007B4B69" w:rsidRPr="007B4B69" w:rsidTr="007B4B69">
        <w:trPr>
          <w:cantSplit/>
          <w:trHeight w:val="76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6.2质量监控</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（1）自我评估及质量监控的内容与方式</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（2）自我评估及质量监控的实施效果</w:t>
            </w:r>
          </w:p>
        </w:tc>
      </w:tr>
      <w:tr w:rsidR="007B4B69" w:rsidRPr="007B4B69" w:rsidTr="007B4B69">
        <w:trPr>
          <w:cantSplit/>
          <w:trHeight w:val="983"/>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6.3质量信息及利用</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（1）校内教学基本状态数据库建设情况</w:t>
            </w:r>
          </w:p>
          <w:p w:rsidR="007B4B69" w:rsidRPr="007B4B69" w:rsidRDefault="007B4B69" w:rsidP="002D6E94">
            <w:pPr>
              <w:widowControl/>
              <w:adjustRightInd w:val="0"/>
              <w:snapToGrid w:val="0"/>
              <w:spacing w:beforeLines="10" w:before="31" w:afterLines="10" w:after="31" w:line="360" w:lineRule="auto"/>
              <w:ind w:hanging="11"/>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（2）质量信息统计、分析、反馈机制</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（3）质量信息公开及年度质量报告</w:t>
            </w:r>
          </w:p>
        </w:tc>
      </w:tr>
      <w:tr w:rsidR="007B4B69" w:rsidRPr="007B4B69" w:rsidTr="007B4B69">
        <w:trPr>
          <w:cantSplit/>
          <w:trHeight w:val="760"/>
          <w:jc w:val="center"/>
        </w:trPr>
        <w:tc>
          <w:tcPr>
            <w:tcW w:w="1473" w:type="dxa"/>
            <w:vMerge/>
            <w:tcBorders>
              <w:top w:val="nil"/>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line="360" w:lineRule="auto"/>
              <w:jc w:val="left"/>
              <w:rPr>
                <w:rFonts w:ascii="宋体" w:eastAsia="宋体" w:hAnsi="宋体" w:cs="宋体"/>
                <w:kern w:val="0"/>
                <w:sz w:val="24"/>
                <w:szCs w:val="24"/>
              </w:rPr>
            </w:pPr>
          </w:p>
        </w:tc>
        <w:tc>
          <w:tcPr>
            <w:tcW w:w="1742"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6.4质量改进</w:t>
            </w:r>
          </w:p>
        </w:tc>
        <w:tc>
          <w:tcPr>
            <w:tcW w:w="6520" w:type="dxa"/>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 xml:space="preserve">（1）质量改进的途径与方法 </w:t>
            </w:r>
          </w:p>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（2）质量改进的效果与评价</w:t>
            </w:r>
          </w:p>
        </w:tc>
      </w:tr>
      <w:tr w:rsidR="007B4B69" w:rsidRPr="007B4B69" w:rsidTr="007B4B69">
        <w:trPr>
          <w:cantSplit/>
          <w:trHeight w:val="762"/>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自选特色</w:t>
            </w:r>
          </w:p>
          <w:p w:rsidR="007B4B69" w:rsidRPr="007B4B69" w:rsidRDefault="007B4B69" w:rsidP="002D6E94">
            <w:pPr>
              <w:widowControl/>
              <w:adjustRightInd w:val="0"/>
              <w:snapToGrid w:val="0"/>
              <w:spacing w:beforeLines="10" w:before="31" w:afterLines="10" w:after="31" w:line="360" w:lineRule="auto"/>
              <w:ind w:hanging="13"/>
              <w:jc w:val="center"/>
              <w:rPr>
                <w:rFonts w:ascii="宋体" w:eastAsia="宋体" w:hAnsi="宋体" w:cs="宋体"/>
                <w:kern w:val="0"/>
                <w:sz w:val="24"/>
                <w:szCs w:val="24"/>
              </w:rPr>
            </w:pPr>
            <w:r w:rsidRPr="007B4B69">
              <w:rPr>
                <w:rFonts w:ascii="仿宋_GB2312" w:eastAsia="仿宋_GB2312" w:hAnsi="宋体" w:cs="宋体" w:hint="eastAsia"/>
                <w:kern w:val="0"/>
                <w:sz w:val="28"/>
                <w:szCs w:val="28"/>
              </w:rPr>
              <w:t>项目</w:t>
            </w:r>
          </w:p>
        </w:tc>
        <w:tc>
          <w:tcPr>
            <w:tcW w:w="8262" w:type="dxa"/>
            <w:gridSpan w:val="2"/>
            <w:tcBorders>
              <w:top w:val="single" w:sz="4" w:space="0" w:color="auto"/>
              <w:left w:val="nil"/>
              <w:bottom w:val="single" w:sz="4" w:space="0" w:color="auto"/>
              <w:right w:val="single" w:sz="4" w:space="0" w:color="auto"/>
            </w:tcBorders>
            <w:vAlign w:val="center"/>
            <w:hideMark/>
          </w:tcPr>
          <w:p w:rsidR="007B4B69" w:rsidRPr="007B4B69" w:rsidRDefault="007B4B69" w:rsidP="002D6E94">
            <w:pPr>
              <w:widowControl/>
              <w:adjustRightInd w:val="0"/>
              <w:snapToGrid w:val="0"/>
              <w:spacing w:beforeLines="10" w:before="31" w:afterLines="10" w:after="31" w:line="360" w:lineRule="auto"/>
              <w:ind w:hanging="13"/>
              <w:jc w:val="left"/>
              <w:rPr>
                <w:rFonts w:ascii="宋体" w:eastAsia="宋体" w:hAnsi="宋体" w:cs="宋体"/>
                <w:kern w:val="0"/>
                <w:sz w:val="24"/>
                <w:szCs w:val="24"/>
              </w:rPr>
            </w:pPr>
            <w:r w:rsidRPr="007B4B69">
              <w:rPr>
                <w:rFonts w:ascii="仿宋_GB2312" w:eastAsia="仿宋_GB2312" w:hAnsi="宋体" w:cs="宋体" w:hint="eastAsia"/>
                <w:kern w:val="0"/>
                <w:sz w:val="28"/>
                <w:szCs w:val="28"/>
              </w:rPr>
              <w:t>学校可自行选择有特色的补充项目</w:t>
            </w:r>
          </w:p>
        </w:tc>
      </w:tr>
    </w:tbl>
    <w:p w:rsidR="00494954" w:rsidRPr="007B4B69" w:rsidRDefault="00494954" w:rsidP="002D6E94">
      <w:pPr>
        <w:adjustRightInd w:val="0"/>
        <w:snapToGrid w:val="0"/>
        <w:spacing w:line="360" w:lineRule="auto"/>
      </w:pPr>
      <w:bookmarkStart w:id="0" w:name="_GoBack"/>
      <w:bookmarkEnd w:id="0"/>
    </w:p>
    <w:sectPr w:rsidR="00494954" w:rsidRPr="007B4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F0"/>
    <w:rsid w:val="002D6E94"/>
    <w:rsid w:val="00494954"/>
    <w:rsid w:val="00587FF0"/>
    <w:rsid w:val="007B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4B69"/>
    <w:rPr>
      <w:b/>
      <w:bCs/>
    </w:rPr>
  </w:style>
  <w:style w:type="character" w:styleId="a4">
    <w:name w:val="Hyperlink"/>
    <w:basedOn w:val="a0"/>
    <w:uiPriority w:val="99"/>
    <w:semiHidden/>
    <w:unhideWhenUsed/>
    <w:rsid w:val="007B4B69"/>
    <w:rPr>
      <w:color w:val="0000FF"/>
      <w:u w:val="single"/>
    </w:rPr>
  </w:style>
  <w:style w:type="paragraph" w:customStyle="1" w:styleId="newstyle17">
    <w:name w:val="newstyle17"/>
    <w:basedOn w:val="a"/>
    <w:rsid w:val="007B4B69"/>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7B4B69"/>
  </w:style>
  <w:style w:type="paragraph" w:styleId="a5">
    <w:name w:val="Date"/>
    <w:basedOn w:val="a"/>
    <w:next w:val="a"/>
    <w:link w:val="Char"/>
    <w:uiPriority w:val="99"/>
    <w:semiHidden/>
    <w:unhideWhenUsed/>
    <w:rsid w:val="002D6E94"/>
    <w:pPr>
      <w:ind w:leftChars="2500" w:left="100"/>
    </w:pPr>
  </w:style>
  <w:style w:type="character" w:customStyle="1" w:styleId="Char">
    <w:name w:val="日期 Char"/>
    <w:basedOn w:val="a0"/>
    <w:link w:val="a5"/>
    <w:uiPriority w:val="99"/>
    <w:semiHidden/>
    <w:rsid w:val="002D6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4B69"/>
    <w:rPr>
      <w:b/>
      <w:bCs/>
    </w:rPr>
  </w:style>
  <w:style w:type="character" w:styleId="a4">
    <w:name w:val="Hyperlink"/>
    <w:basedOn w:val="a0"/>
    <w:uiPriority w:val="99"/>
    <w:semiHidden/>
    <w:unhideWhenUsed/>
    <w:rsid w:val="007B4B69"/>
    <w:rPr>
      <w:color w:val="0000FF"/>
      <w:u w:val="single"/>
    </w:rPr>
  </w:style>
  <w:style w:type="paragraph" w:customStyle="1" w:styleId="newstyle17">
    <w:name w:val="newstyle17"/>
    <w:basedOn w:val="a"/>
    <w:rsid w:val="007B4B69"/>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7B4B69"/>
  </w:style>
  <w:style w:type="paragraph" w:styleId="a5">
    <w:name w:val="Date"/>
    <w:basedOn w:val="a"/>
    <w:next w:val="a"/>
    <w:link w:val="Char"/>
    <w:uiPriority w:val="99"/>
    <w:semiHidden/>
    <w:unhideWhenUsed/>
    <w:rsid w:val="002D6E94"/>
    <w:pPr>
      <w:ind w:leftChars="2500" w:left="100"/>
    </w:pPr>
  </w:style>
  <w:style w:type="character" w:customStyle="1" w:styleId="Char">
    <w:name w:val="日期 Char"/>
    <w:basedOn w:val="a0"/>
    <w:link w:val="a5"/>
    <w:uiPriority w:val="99"/>
    <w:semiHidden/>
    <w:rsid w:val="002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ewebeditor/uploadfile/2013/12/19/2013121911313788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2016-11-03T06:02:00Z</dcterms:created>
  <dcterms:modified xsi:type="dcterms:W3CDTF">2016-11-03T06:04:00Z</dcterms:modified>
</cp:coreProperties>
</file>